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D7AA" w14:textId="77777777" w:rsidR="00223571" w:rsidRPr="00F9207B" w:rsidRDefault="00223571" w:rsidP="00223571">
      <w:pPr>
        <w:spacing w:after="0" w:line="240" w:lineRule="auto"/>
        <w:textAlignment w:val="bottom"/>
        <w:rPr>
          <w:rFonts w:ascii="Calibri" w:eastAsia="Times New Roman" w:hAnsi="Calibri" w:cs="Calibri"/>
          <w:b/>
          <w:bCs/>
          <w:color w:val="000000"/>
          <w:sz w:val="24"/>
          <w:szCs w:val="24"/>
          <w:lang w:eastAsia="fr-BE"/>
        </w:rPr>
      </w:pPr>
      <w:r w:rsidRPr="00F9207B">
        <w:rPr>
          <w:rFonts w:ascii="Calibri" w:eastAsia="Times New Roman" w:hAnsi="Calibri" w:cs="Calibri"/>
          <w:b/>
          <w:bCs/>
          <w:color w:val="000000"/>
          <w:sz w:val="24"/>
          <w:szCs w:val="24"/>
          <w:lang w:eastAsia="fr-BE"/>
        </w:rPr>
        <w:t>Lieu , Date</w:t>
      </w:r>
    </w:p>
    <w:p w14:paraId="2A14557F" w14:textId="77777777" w:rsidR="00223571" w:rsidRPr="00223571" w:rsidRDefault="00223571" w:rsidP="00223571">
      <w:pPr>
        <w:spacing w:after="0" w:line="240" w:lineRule="auto"/>
        <w:textAlignment w:val="bottom"/>
        <w:rPr>
          <w:rFonts w:ascii="Calibri" w:eastAsia="Times New Roman" w:hAnsi="Calibri" w:cs="Calibri"/>
          <w:color w:val="000000"/>
          <w:sz w:val="24"/>
          <w:szCs w:val="24"/>
          <w:lang w:eastAsia="fr-BE"/>
        </w:rPr>
      </w:pPr>
      <w:r w:rsidRPr="00223571">
        <w:rPr>
          <w:rFonts w:ascii="Calibri" w:eastAsia="Times New Roman" w:hAnsi="Calibri" w:cs="Calibri"/>
          <w:color w:val="000000"/>
          <w:sz w:val="24"/>
          <w:szCs w:val="24"/>
          <w:lang w:eastAsia="fr-BE"/>
        </w:rPr>
        <w:t>À l’attention de l’INAMI </w:t>
      </w:r>
      <w:hyperlink r:id="rId6" w:tgtFrame="_blank" w:history="1">
        <w:r w:rsidRPr="00223571">
          <w:rPr>
            <w:rFonts w:ascii="Calibri" w:eastAsia="Times New Roman" w:hAnsi="Calibri" w:cs="Calibri"/>
            <w:color w:val="1155CC"/>
            <w:sz w:val="24"/>
            <w:szCs w:val="24"/>
            <w:u w:val="single"/>
            <w:lang w:eastAsia="fr-BE"/>
          </w:rPr>
          <w:t>jur_reg@riziv-inami.fgov.be</w:t>
        </w:r>
      </w:hyperlink>
    </w:p>
    <w:p w14:paraId="6920C093" w14:textId="77777777" w:rsidR="00223571" w:rsidRDefault="00223571" w:rsidP="00223571">
      <w:pPr>
        <w:spacing w:after="0" w:line="240" w:lineRule="auto"/>
        <w:textAlignment w:val="bottom"/>
        <w:rPr>
          <w:rFonts w:ascii="Calibri" w:eastAsia="Times New Roman" w:hAnsi="Calibri" w:cs="Calibri"/>
          <w:color w:val="000000"/>
          <w:sz w:val="24"/>
          <w:szCs w:val="24"/>
          <w:lang w:eastAsia="fr-BE"/>
        </w:rPr>
      </w:pPr>
      <w:r w:rsidRPr="00F9207B">
        <w:rPr>
          <w:rFonts w:ascii="Calibri" w:eastAsia="Times New Roman" w:hAnsi="Calibri" w:cs="Calibri"/>
          <w:b/>
          <w:bCs/>
          <w:color w:val="000000"/>
          <w:sz w:val="24"/>
          <w:szCs w:val="24"/>
          <w:lang w:eastAsia="fr-BE"/>
        </w:rPr>
        <w:t>Objet:</w:t>
      </w:r>
      <w:r w:rsidRPr="00223571">
        <w:rPr>
          <w:rFonts w:ascii="Calibri" w:eastAsia="Times New Roman" w:hAnsi="Calibri" w:cs="Calibri"/>
          <w:color w:val="000000"/>
          <w:sz w:val="24"/>
          <w:szCs w:val="24"/>
          <w:lang w:eastAsia="fr-BE"/>
        </w:rPr>
        <w:t xml:space="preserve"> Test de proportionnalité – avant-projet de loi cadre</w:t>
      </w:r>
    </w:p>
    <w:p w14:paraId="248B6865" w14:textId="77777777" w:rsidR="00105FA1" w:rsidRDefault="00105FA1" w:rsidP="00223571">
      <w:pPr>
        <w:spacing w:after="0" w:line="240" w:lineRule="auto"/>
        <w:textAlignment w:val="bottom"/>
        <w:rPr>
          <w:rFonts w:ascii="Calibri" w:eastAsia="Times New Roman" w:hAnsi="Calibri" w:cs="Calibri"/>
          <w:color w:val="000000"/>
          <w:sz w:val="24"/>
          <w:szCs w:val="24"/>
          <w:lang w:eastAsia="fr-BE"/>
        </w:rPr>
      </w:pPr>
    </w:p>
    <w:p w14:paraId="4B41E884" w14:textId="14394E98" w:rsidR="00105FA1" w:rsidRDefault="00105FA1" w:rsidP="00223571">
      <w:pPr>
        <w:spacing w:after="0" w:line="240" w:lineRule="auto"/>
        <w:textAlignment w:val="bottom"/>
        <w:rPr>
          <w:rFonts w:ascii="Calibri" w:eastAsia="Times New Roman" w:hAnsi="Calibri" w:cs="Calibri"/>
          <w:color w:val="000000"/>
          <w:sz w:val="24"/>
          <w:szCs w:val="24"/>
          <w:lang w:eastAsia="fr-BE"/>
        </w:rPr>
      </w:pPr>
      <w:r w:rsidRPr="00105FA1">
        <w:rPr>
          <w:rFonts w:ascii="Calibri" w:eastAsia="Times New Roman" w:hAnsi="Calibri" w:cs="Calibri"/>
          <w:color w:val="000000"/>
          <w:sz w:val="24"/>
          <w:szCs w:val="24"/>
          <w:lang w:eastAsia="fr-BE"/>
        </w:rPr>
        <w:t>Madame, Monsieur,</w:t>
      </w:r>
    </w:p>
    <w:p w14:paraId="2027C6E5" w14:textId="77777777" w:rsidR="00105FA1" w:rsidRPr="00223571" w:rsidRDefault="00105FA1" w:rsidP="00223571">
      <w:pPr>
        <w:spacing w:after="0" w:line="240" w:lineRule="auto"/>
        <w:textAlignment w:val="bottom"/>
        <w:rPr>
          <w:rFonts w:ascii="Calibri" w:eastAsia="Times New Roman" w:hAnsi="Calibri" w:cs="Calibri"/>
          <w:color w:val="000000"/>
          <w:sz w:val="24"/>
          <w:szCs w:val="24"/>
          <w:lang w:eastAsia="fr-BE"/>
        </w:rPr>
      </w:pPr>
    </w:p>
    <w:p w14:paraId="2888C6A2" w14:textId="77777777" w:rsidR="00223571" w:rsidRPr="00223571" w:rsidRDefault="00223571" w:rsidP="00F9207B">
      <w:pPr>
        <w:spacing w:before="100" w:after="100" w:line="240" w:lineRule="auto"/>
        <w:jc w:val="both"/>
        <w:textAlignment w:val="bottom"/>
        <w:rPr>
          <w:rFonts w:ascii="Calibri" w:eastAsia="Times New Roman" w:hAnsi="Calibri" w:cs="Calibri"/>
          <w:color w:val="000000"/>
          <w:sz w:val="24"/>
          <w:szCs w:val="24"/>
          <w:lang w:eastAsia="fr-BE"/>
        </w:rPr>
      </w:pPr>
      <w:r w:rsidRPr="00223571">
        <w:rPr>
          <w:rFonts w:ascii="Calibri" w:eastAsia="Times New Roman" w:hAnsi="Calibri" w:cs="Calibri"/>
          <w:color w:val="000000"/>
          <w:sz w:val="24"/>
          <w:szCs w:val="24"/>
          <w:lang w:val="fr-FR" w:eastAsia="fr-BE"/>
        </w:rPr>
        <w:t>Via votre consultation « Directive proportionnalité : faites entendre votre voix », vous sollicitez les remarques des prestataires concernant le projet de loi-cadre modifiant profondément l’organisation des soins de santé</w:t>
      </w:r>
      <w:r w:rsidRPr="00F9207B">
        <w:rPr>
          <w:rFonts w:ascii="Calibri" w:eastAsia="Times New Roman" w:hAnsi="Calibri" w:cs="Calibri"/>
          <w:color w:val="000000"/>
          <w:sz w:val="24"/>
          <w:szCs w:val="24"/>
          <w:lang w:eastAsia="fr-BE"/>
        </w:rPr>
        <w:t>.</w:t>
      </w:r>
    </w:p>
    <w:p w14:paraId="2238F8AA" w14:textId="442C2F9F" w:rsidR="00223571" w:rsidRPr="00F9207B" w:rsidRDefault="00F9207B" w:rsidP="00F9207B">
      <w:pPr>
        <w:spacing w:before="100" w:after="100" w:line="240" w:lineRule="auto"/>
        <w:jc w:val="both"/>
        <w:textAlignment w:val="bottom"/>
        <w:rPr>
          <w:rFonts w:ascii="Calibri" w:eastAsia="Times New Roman" w:hAnsi="Calibri" w:cs="Calibri"/>
          <w:color w:val="000000"/>
          <w:sz w:val="24"/>
          <w:szCs w:val="24"/>
          <w:lang w:eastAsia="fr-BE"/>
        </w:rPr>
      </w:pPr>
      <w:r w:rsidRPr="00F9207B">
        <w:rPr>
          <w:rFonts w:ascii="Calibri" w:eastAsia="Times New Roman" w:hAnsi="Calibri" w:cs="Calibri"/>
          <w:color w:val="000000"/>
          <w:sz w:val="24"/>
          <w:szCs w:val="24"/>
          <w:lang w:eastAsia="fr-BE"/>
        </w:rPr>
        <w:t>Conformément</w:t>
      </w:r>
      <w:r w:rsidR="00223571" w:rsidRPr="00F9207B">
        <w:rPr>
          <w:rFonts w:ascii="Calibri" w:eastAsia="Times New Roman" w:hAnsi="Calibri" w:cs="Calibri"/>
          <w:color w:val="000000"/>
          <w:sz w:val="24"/>
          <w:szCs w:val="24"/>
          <w:lang w:val="fr-FR" w:eastAsia="fr-BE"/>
        </w:rPr>
        <w:t xml:space="preserve"> à la Directive (UE) 2018/958, toute mesure réglementant une profession doit démontrer qu’elle est</w:t>
      </w:r>
      <w:r w:rsidRPr="00F9207B">
        <w:rPr>
          <w:rFonts w:ascii="Calibri" w:eastAsia="Times New Roman" w:hAnsi="Calibri" w:cs="Calibri"/>
          <w:color w:val="000000"/>
          <w:sz w:val="24"/>
          <w:szCs w:val="24"/>
          <w:lang w:val="fr-FR" w:eastAsia="fr-BE"/>
        </w:rPr>
        <w:t xml:space="preserve"> nécessaire,</w:t>
      </w:r>
      <w:r w:rsidR="00223571" w:rsidRPr="00F9207B">
        <w:rPr>
          <w:rFonts w:ascii="Calibri" w:eastAsia="Times New Roman" w:hAnsi="Calibri" w:cs="Calibri"/>
          <w:color w:val="000000"/>
          <w:sz w:val="24"/>
          <w:szCs w:val="24"/>
          <w:lang w:val="fr-FR" w:eastAsia="fr-BE"/>
        </w:rPr>
        <w:t xml:space="preserve"> la moins restrictive </w:t>
      </w:r>
      <w:r w:rsidRPr="00F9207B">
        <w:rPr>
          <w:rFonts w:ascii="Calibri" w:eastAsia="Times New Roman" w:hAnsi="Calibri" w:cs="Calibri"/>
          <w:color w:val="000000"/>
          <w:sz w:val="24"/>
          <w:szCs w:val="24"/>
          <w:lang w:val="fr-FR" w:eastAsia="fr-BE"/>
        </w:rPr>
        <w:t>possible</w:t>
      </w:r>
      <w:r w:rsidRPr="00F9207B">
        <w:rPr>
          <w:rFonts w:ascii="Calibri" w:eastAsia="Times New Roman" w:hAnsi="Calibri" w:cs="Calibri"/>
          <w:color w:val="000000"/>
          <w:sz w:val="24"/>
          <w:szCs w:val="24"/>
          <w:lang w:eastAsia="fr-BE"/>
        </w:rPr>
        <w:t>,</w:t>
      </w:r>
      <w:r w:rsidRPr="00F9207B">
        <w:rPr>
          <w:rFonts w:ascii="Calibri" w:eastAsia="Times New Roman" w:hAnsi="Calibri" w:cs="Calibri"/>
          <w:color w:val="000000"/>
          <w:sz w:val="24"/>
          <w:szCs w:val="24"/>
          <w:lang w:val="fr-FR" w:eastAsia="fr-BE"/>
        </w:rPr>
        <w:t xml:space="preserve"> proportionnée</w:t>
      </w:r>
      <w:r w:rsidR="00223571" w:rsidRPr="00F9207B">
        <w:rPr>
          <w:rFonts w:ascii="Calibri" w:eastAsia="Times New Roman" w:hAnsi="Calibri" w:cs="Calibri"/>
          <w:color w:val="000000"/>
          <w:sz w:val="24"/>
          <w:szCs w:val="24"/>
          <w:lang w:eastAsia="fr-BE"/>
        </w:rPr>
        <w:t xml:space="preserve">, </w:t>
      </w:r>
      <w:r w:rsidR="00223571" w:rsidRPr="00F9207B">
        <w:rPr>
          <w:rFonts w:ascii="Calibri" w:eastAsia="Times New Roman" w:hAnsi="Calibri" w:cs="Calibri"/>
          <w:color w:val="000000"/>
          <w:sz w:val="24"/>
          <w:szCs w:val="24"/>
          <w:lang w:val="fr-FR" w:eastAsia="fr-BE"/>
        </w:rPr>
        <w:t>et qu’aucune alternative moins intrusive n’est envisageable</w:t>
      </w:r>
      <w:r w:rsidR="00223571" w:rsidRPr="00F9207B">
        <w:rPr>
          <w:rFonts w:ascii="Calibri" w:eastAsia="Times New Roman" w:hAnsi="Calibri" w:cs="Calibri"/>
          <w:color w:val="000000"/>
          <w:sz w:val="24"/>
          <w:szCs w:val="24"/>
          <w:lang w:eastAsia="fr-BE"/>
        </w:rPr>
        <w:t>.</w:t>
      </w:r>
    </w:p>
    <w:p w14:paraId="7EA853FE" w14:textId="77777777" w:rsidR="00223571" w:rsidRPr="00223571" w:rsidRDefault="00223571" w:rsidP="00F9207B">
      <w:pPr>
        <w:spacing w:before="100" w:after="100" w:line="240" w:lineRule="auto"/>
        <w:jc w:val="both"/>
        <w:textAlignment w:val="bottom"/>
        <w:rPr>
          <w:rFonts w:ascii="Calibri" w:eastAsia="Times New Roman" w:hAnsi="Calibri" w:cs="Calibri"/>
          <w:color w:val="000000"/>
          <w:sz w:val="24"/>
          <w:szCs w:val="24"/>
          <w:lang w:eastAsia="fr-BE"/>
        </w:rPr>
      </w:pPr>
      <w:r w:rsidRPr="00223571">
        <w:rPr>
          <w:rFonts w:ascii="Calibri" w:eastAsia="Times New Roman" w:hAnsi="Calibri" w:cs="Calibri"/>
          <w:color w:val="000000"/>
          <w:sz w:val="24"/>
          <w:szCs w:val="24"/>
          <w:lang w:val="fr-FR" w:eastAsia="fr-BE"/>
        </w:rPr>
        <w:t>Or, plusieurs dispositions du projet de loi ne répondent pas à ces critères et apparaissent disproportionnées au regard de l’exercice de la dentisterie.</w:t>
      </w:r>
    </w:p>
    <w:p w14:paraId="2772ADAB" w14:textId="757D3895" w:rsidR="00223571" w:rsidRPr="00105FA1" w:rsidRDefault="00223571" w:rsidP="00F9207B">
      <w:pPr>
        <w:spacing w:before="100" w:after="100" w:line="240" w:lineRule="auto"/>
        <w:jc w:val="both"/>
        <w:textAlignment w:val="bottom"/>
        <w:rPr>
          <w:rFonts w:ascii="Calibri" w:eastAsia="Times New Roman" w:hAnsi="Calibri" w:cs="Calibri"/>
          <w:color w:val="000000"/>
          <w:sz w:val="24"/>
          <w:szCs w:val="24"/>
          <w:lang w:eastAsia="fr-BE"/>
        </w:rPr>
      </w:pPr>
      <w:r w:rsidRPr="00223571">
        <w:rPr>
          <w:rFonts w:ascii="Calibri" w:eastAsia="Times New Roman" w:hAnsi="Calibri" w:cs="Calibri"/>
          <w:color w:val="000000"/>
          <w:sz w:val="24"/>
          <w:szCs w:val="24"/>
          <w:lang w:val="fr-FR" w:eastAsia="fr-BE"/>
        </w:rPr>
        <w:t>Vous trouverez ci-dessous mes observations.</w:t>
      </w:r>
    </w:p>
    <w:p w14:paraId="212AB56E" w14:textId="77777777" w:rsidR="00223571" w:rsidRPr="00105FA1" w:rsidRDefault="00223571" w:rsidP="00223571">
      <w:pPr>
        <w:spacing w:before="100" w:after="100" w:line="240" w:lineRule="auto"/>
        <w:textAlignment w:val="bottom"/>
        <w:rPr>
          <w:rFonts w:ascii="Calibri" w:eastAsia="Times New Roman" w:hAnsi="Calibri" w:cs="Calibri"/>
          <w:color w:val="000000"/>
          <w:sz w:val="24"/>
          <w:szCs w:val="24"/>
          <w:lang w:eastAsia="fr-BE"/>
        </w:rPr>
      </w:pPr>
    </w:p>
    <w:p w14:paraId="2FBE0D97" w14:textId="4DD60B0C" w:rsidR="00223571" w:rsidRPr="00223571" w:rsidRDefault="00223571" w:rsidP="00223571">
      <w:pPr>
        <w:spacing w:before="100" w:after="100" w:line="240" w:lineRule="auto"/>
        <w:textAlignment w:val="bottom"/>
        <w:rPr>
          <w:rFonts w:ascii="Calibri" w:eastAsia="Times New Roman" w:hAnsi="Calibri" w:cs="Calibri"/>
          <w:color w:val="000000"/>
          <w:sz w:val="24"/>
          <w:szCs w:val="24"/>
          <w:lang w:eastAsia="fr-BE"/>
        </w:rPr>
      </w:pPr>
      <w:r w:rsidRPr="00223571">
        <w:rPr>
          <w:rFonts w:ascii="Calibri" w:eastAsia="Times New Roman" w:hAnsi="Calibri" w:cs="Calibri"/>
          <w:b/>
          <w:bCs/>
          <w:color w:val="000000"/>
          <w:sz w:val="24"/>
          <w:szCs w:val="24"/>
          <w:lang w:val="fr-FR" w:eastAsia="fr-BE"/>
        </w:rPr>
        <w:t>Réforme des structures budgétaires et de concertation (Section X</w:t>
      </w:r>
      <w:r w:rsidRPr="00223571">
        <w:rPr>
          <w:rFonts w:ascii="Calibri" w:eastAsia="Times New Roman" w:hAnsi="Calibri" w:cs="Calibri"/>
          <w:color w:val="000000"/>
          <w:sz w:val="24"/>
          <w:szCs w:val="24"/>
          <w:lang w:val="fr-FR" w:eastAsia="fr-BE"/>
        </w:rPr>
        <w:t>)  </w:t>
      </w:r>
    </w:p>
    <w:p w14:paraId="291C1E44" w14:textId="7E7F0C15"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Le projet prévoit de modifier les mécanismes de concertation et d’accélérer les procédures budgétaires. Cette évolution affaiblit le principe de gestion paritaire et réduit la place des dentistes dans le processus décisionnel, alors même que leur expertise de terrain est indispensable. En cherchant à gagner du temps sur le contrôle budgétaire, on sacrifie la qualité du dialogue et la légitimité des décisions.</w:t>
      </w:r>
    </w:p>
    <w:p w14:paraId="36C1EA53" w14:textId="7777777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Nous demandons donc que le modèle paritaire soit pleinement rétabli pour toutes les décisions majeures concernant la nomenclature et les budgets.</w:t>
      </w:r>
    </w:p>
    <w:p w14:paraId="484740E7" w14:textId="7B9EBB9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 xml:space="preserve">De plus, le texte introduit la possibilité d’imposer par arrêté royal des tarifs maximaux en cas d’absence ou de non-respect d’un accord, et </w:t>
      </w:r>
      <w:r w:rsidR="00D25F2F">
        <w:rPr>
          <w:rFonts w:ascii="Calibri" w:eastAsia="Times New Roman" w:hAnsi="Calibri" w:cs="Calibri"/>
          <w:color w:val="000000"/>
          <w:sz w:val="24"/>
          <w:szCs w:val="24"/>
          <w:lang w:eastAsia="fr-BE"/>
        </w:rPr>
        <w:t xml:space="preserve">de </w:t>
      </w:r>
      <w:r w:rsidRPr="00223571">
        <w:rPr>
          <w:rFonts w:ascii="Calibri" w:eastAsia="Times New Roman" w:hAnsi="Calibri" w:cs="Calibri"/>
          <w:color w:val="000000"/>
          <w:sz w:val="24"/>
          <w:szCs w:val="24"/>
          <w:lang w:eastAsia="fr-BE"/>
        </w:rPr>
        <w:t>suspendre la masse d'index. Une telle disposition est disproportionnée : elle supprime toute négociation équilibrée et vide de son sens la concertation, rendant impossible un dialogue constructif.</w:t>
      </w:r>
    </w:p>
    <w:p w14:paraId="7091B415" w14:textId="77777777" w:rsidR="00223571" w:rsidRPr="00223571" w:rsidRDefault="00223571" w:rsidP="00223571">
      <w:pPr>
        <w:spacing w:before="100" w:beforeAutospacing="1" w:after="100" w:afterAutospacing="1" w:line="240" w:lineRule="auto"/>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t>Conventionnement : un modèle sous pression (Sections X+1, X+7) </w:t>
      </w:r>
    </w:p>
    <w:p w14:paraId="20B6857D" w14:textId="6E2BB6DC"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Le projet de loi vise à augmenter le taux de conventionnement, mais utilise pour cela des mesures punitives: sanctions individuelles (primes), restrictions collectives (indexation, financement des organisations professionnelles) et incitants financiers. Cette approche est jugée disproportionnée, car elle fragilise la confiance entre prestataires et autorités et s’écarte des principes européens de proportionnalité.</w:t>
      </w:r>
    </w:p>
    <w:p w14:paraId="152BC9A1" w14:textId="7777777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Si la stabilité tarifaire pour les patients est un objectif légitime, elle devrait être atteinte par le dialogue paritaire et la concertation, plutôt que par des sanctions. Les praticiens plaident pour une approche partenariale, fondée sur la coopération et la confiance</w:t>
      </w:r>
      <w:r w:rsidRPr="00223571">
        <w:rPr>
          <w:rFonts w:ascii="Calibri" w:eastAsia="Times New Roman" w:hAnsi="Calibri" w:cs="Calibri"/>
          <w:b/>
          <w:bCs/>
          <w:color w:val="000000"/>
          <w:sz w:val="24"/>
          <w:szCs w:val="24"/>
          <w:lang w:eastAsia="fr-BE"/>
        </w:rPr>
        <w:t>.</w:t>
      </w:r>
    </w:p>
    <w:p w14:paraId="4BE2E853" w14:textId="77777777" w:rsidR="00223571" w:rsidRPr="00223571" w:rsidRDefault="00223571" w:rsidP="00223571">
      <w:pPr>
        <w:spacing w:before="100" w:beforeAutospacing="1" w:after="100" w:afterAutospacing="1" w:line="240" w:lineRule="auto"/>
        <w:textAlignment w:val="bottom"/>
        <w:outlineLvl w:val="2"/>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t>Plafonnement des suppléments d’honoraires (Section X+6)</w:t>
      </w:r>
    </w:p>
    <w:p w14:paraId="5AF792E4" w14:textId="7777777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lastRenderedPageBreak/>
        <w:t>L</w:t>
      </w:r>
      <w:r w:rsidRPr="00223571">
        <w:rPr>
          <w:rFonts w:ascii="Calibri" w:eastAsia="Times New Roman" w:hAnsi="Calibri" w:cs="Calibri"/>
          <w:color w:val="000000"/>
          <w:sz w:val="24"/>
          <w:szCs w:val="24"/>
          <w:lang w:eastAsia="fr-BE"/>
        </w:rPr>
        <w:t>e projet prévoit d’instaurer des plafonds sur les suppléments d’honoraires sans réforme préalable de la nomenclature ni compensation adaptée pour les frais de fonctionnement et de matériel. Une telle mesure, jugée excessive, ne tient pas compte des différences de coûts entre spécialités et rend toute négociation impossible tant que la nouvelle nomenclature n’est pas définie. Elle constitue une atteinte disproportionnée à la liberté d’entreprendre et fragilise l’exercice autonome et qualitatif de la profession, en limitant durablement une tarification réaliste et soutenable et en menaçant la viabilité des cabinets</w:t>
      </w:r>
    </w:p>
    <w:p w14:paraId="16CDA9FF" w14:textId="77777777" w:rsidR="00223571" w:rsidRPr="00223571" w:rsidRDefault="00223571" w:rsidP="00223571">
      <w:pPr>
        <w:spacing w:before="100" w:beforeAutospacing="1" w:after="100" w:afterAutospacing="1" w:line="240" w:lineRule="auto"/>
        <w:textAlignment w:val="bottom"/>
        <w:outlineLvl w:val="2"/>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t>Limitation des tarifs de référence aux dentistes conventionnés (Section X+12)</w:t>
      </w:r>
    </w:p>
    <w:p w14:paraId="6AFF47FE" w14:textId="7777777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Le projet réserve l’application des tarifs de référence aux seuls dentistes conventionnés. Cette restriction crée un frein pour les patients, notamment ceux bénéficiant d’une intervention majorée, car les praticiens non conventionnés ne peuvent proposer ces tarifs. En pratique, certaines innovations deviennent financièrement inaccessibles pour ces patients. Une telle mesure, jugée disproportionnée, réduit la liberté de choix et compromet l’égalité d’accès à des soins de qualité et à des traitements innovants.  </w:t>
      </w:r>
    </w:p>
    <w:p w14:paraId="5E79C97E" w14:textId="5884B200" w:rsidR="00223571" w:rsidRPr="00223571" w:rsidRDefault="00223571" w:rsidP="00223571">
      <w:pPr>
        <w:spacing w:before="100" w:beforeAutospacing="1" w:after="100" w:afterAutospacing="1" w:line="240" w:lineRule="auto"/>
        <w:textAlignment w:val="bottom"/>
        <w:outlineLvl w:val="2"/>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t>Extension des pouvoirs de contrôle (Section X+9, X+10)</w:t>
      </w:r>
    </w:p>
    <w:p w14:paraId="0133C81C" w14:textId="1F1D2475"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La suspension temporaire du numéro INAMI comme alternative à une amende est jugée excessive et disproportionnée, car elle entraîne des conséquences financières et réputationnelles lourdes pour les dentistes. De plus, l’absence de définition claire de notions comme « prestations superflues » ou « inutilement coûteuses » crée une insécurité juridique et favorise une pratique défensive. Cette mesure ne devrait être appliquée qu’en cas de fraude avérée et répétée.</w:t>
      </w:r>
      <w:r w:rsidRPr="00223571">
        <w:rPr>
          <w:rFonts w:ascii="Calibri" w:eastAsia="Times New Roman" w:hAnsi="Calibri" w:cs="Calibri"/>
          <w:b/>
          <w:bCs/>
          <w:color w:val="000000"/>
          <w:sz w:val="24"/>
          <w:szCs w:val="24"/>
          <w:lang w:eastAsia="fr-BE"/>
        </w:rPr>
        <w:t>  </w:t>
      </w:r>
    </w:p>
    <w:p w14:paraId="3A908BC6" w14:textId="77777777" w:rsidR="00223571" w:rsidRPr="00223571" w:rsidRDefault="00223571" w:rsidP="00223571">
      <w:pPr>
        <w:spacing w:before="100" w:beforeAutospacing="1" w:after="100" w:afterAutospacing="1" w:line="240" w:lineRule="auto"/>
        <w:textAlignment w:val="bottom"/>
        <w:outlineLvl w:val="3"/>
        <w:rPr>
          <w:rFonts w:ascii="Calibri" w:eastAsia="Times New Roman" w:hAnsi="Calibri" w:cs="Calibri"/>
          <w:b/>
          <w:bCs/>
          <w:color w:val="222222"/>
          <w:sz w:val="24"/>
          <w:szCs w:val="24"/>
          <w:lang w:eastAsia="fr-BE"/>
        </w:rPr>
      </w:pPr>
      <w:r w:rsidRPr="00223571">
        <w:rPr>
          <w:rFonts w:ascii="Calibri" w:eastAsia="Times New Roman" w:hAnsi="Calibri" w:cs="Calibri"/>
          <w:b/>
          <w:bCs/>
          <w:color w:val="222222"/>
          <w:sz w:val="24"/>
          <w:szCs w:val="24"/>
          <w:lang w:eastAsia="fr-BE"/>
        </w:rPr>
        <w:t>Conclusion </w:t>
      </w:r>
    </w:p>
    <w:p w14:paraId="564F0E36" w14:textId="77777777" w:rsidR="00223571" w:rsidRPr="00223571" w:rsidRDefault="00223571" w:rsidP="00F9207B">
      <w:pPr>
        <w:spacing w:before="100" w:beforeAutospacing="1" w:after="100" w:afterAutospacing="1" w:line="240" w:lineRule="auto"/>
        <w:jc w:val="both"/>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color w:val="000000"/>
          <w:sz w:val="24"/>
          <w:szCs w:val="24"/>
          <w:lang w:eastAsia="fr-BE"/>
        </w:rPr>
        <w:t>Je vous demande instamment de retirer ces mesures disproportionnées, qui compromettent l’exercice autonome et qualitatif de notre profession. Chaque disposition du projet devrait être accompagnée d’une justification claire et argumentée, ainsi que d’une analyse des impacts possibles. Ce n’est qu’à cette condition qu’une politique équitable, soutenue par les acteurs de terrain et conforme aux exigences de proportionnalité du droit européen et national pourra être mise en œuvre.</w:t>
      </w:r>
    </w:p>
    <w:p w14:paraId="31E10669" w14:textId="3C0C61D0" w:rsidR="00223571" w:rsidRPr="00223571" w:rsidRDefault="00223571" w:rsidP="00223571">
      <w:pPr>
        <w:spacing w:before="100" w:beforeAutospacing="1" w:after="100" w:afterAutospacing="1" w:line="240" w:lineRule="auto"/>
        <w:textAlignment w:val="bottom"/>
        <w:outlineLvl w:val="3"/>
        <w:rPr>
          <w:rFonts w:ascii="Calibri" w:eastAsia="Times New Roman" w:hAnsi="Calibri" w:cs="Calibri"/>
          <w:b/>
          <w:bCs/>
          <w:color w:val="000000"/>
          <w:sz w:val="24"/>
          <w:szCs w:val="24"/>
          <w:lang w:eastAsia="fr-BE"/>
        </w:rPr>
      </w:pPr>
      <w:r w:rsidRPr="00223571">
        <w:rPr>
          <w:rFonts w:ascii="Calibri" w:eastAsia="Times New Roman" w:hAnsi="Calibri" w:cs="Calibri"/>
          <w:b/>
          <w:bCs/>
          <w:color w:val="000000"/>
          <w:sz w:val="24"/>
          <w:szCs w:val="24"/>
          <w:lang w:eastAsia="fr-BE"/>
        </w:rPr>
        <w:t>Je vous invite à revoir ces dispositions, à envisager des solutions moins restrictives et à rétablir un dialogue paritaire authentique.  </w:t>
      </w:r>
    </w:p>
    <w:p w14:paraId="20BFA6FD" w14:textId="48F7D170" w:rsidR="00223571" w:rsidRPr="00223571" w:rsidRDefault="00223571" w:rsidP="00223571">
      <w:pPr>
        <w:spacing w:before="100" w:beforeAutospacing="1" w:after="100" w:afterAutospacing="1" w:line="240" w:lineRule="auto"/>
        <w:textAlignment w:val="bottom"/>
        <w:outlineLvl w:val="3"/>
        <w:rPr>
          <w:rFonts w:ascii="Calibri" w:eastAsia="Times New Roman" w:hAnsi="Calibri" w:cs="Calibri"/>
          <w:color w:val="222222"/>
          <w:sz w:val="24"/>
          <w:szCs w:val="24"/>
          <w:lang w:eastAsia="fr-BE"/>
        </w:rPr>
      </w:pPr>
      <w:r w:rsidRPr="00223571">
        <w:rPr>
          <w:rFonts w:ascii="Calibri" w:eastAsia="Times New Roman" w:hAnsi="Calibri" w:cs="Calibri"/>
          <w:color w:val="222222"/>
          <w:sz w:val="24"/>
          <w:szCs w:val="24"/>
          <w:lang w:eastAsia="fr-BE"/>
        </w:rPr>
        <w:br/>
        <w:t xml:space="preserve">Je vous prie de bien vouloir </w:t>
      </w:r>
      <w:r w:rsidR="00F9207B" w:rsidRPr="00223571">
        <w:rPr>
          <w:rFonts w:ascii="Calibri" w:eastAsia="Times New Roman" w:hAnsi="Calibri" w:cs="Calibri"/>
          <w:color w:val="222222"/>
          <w:sz w:val="24"/>
          <w:szCs w:val="24"/>
          <w:lang w:eastAsia="fr-BE"/>
        </w:rPr>
        <w:t>agréer, l’expression</w:t>
      </w:r>
      <w:r w:rsidRPr="00223571">
        <w:rPr>
          <w:rFonts w:ascii="Calibri" w:eastAsia="Times New Roman" w:hAnsi="Calibri" w:cs="Calibri"/>
          <w:color w:val="222222"/>
          <w:sz w:val="24"/>
          <w:szCs w:val="24"/>
          <w:lang w:eastAsia="fr-BE"/>
        </w:rPr>
        <w:t xml:space="preserve"> de ma considération distinguée,</w:t>
      </w:r>
    </w:p>
    <w:p w14:paraId="7375FE44" w14:textId="77777777" w:rsidR="00223571" w:rsidRPr="00223571" w:rsidRDefault="00223571" w:rsidP="00223571">
      <w:pPr>
        <w:spacing w:before="100" w:beforeAutospacing="1" w:after="100" w:afterAutospacing="1" w:line="240" w:lineRule="auto"/>
        <w:textAlignment w:val="bottom"/>
        <w:outlineLvl w:val="3"/>
        <w:rPr>
          <w:rFonts w:ascii="Calibri" w:eastAsia="Times New Roman" w:hAnsi="Calibri" w:cs="Calibri"/>
          <w:color w:val="222222"/>
          <w:sz w:val="24"/>
          <w:szCs w:val="24"/>
          <w:lang w:eastAsia="fr-BE"/>
        </w:rPr>
      </w:pPr>
      <w:r w:rsidRPr="00223571">
        <w:rPr>
          <w:rFonts w:ascii="Calibri" w:eastAsia="Times New Roman" w:hAnsi="Calibri" w:cs="Calibri"/>
          <w:color w:val="222222"/>
          <w:sz w:val="24"/>
          <w:szCs w:val="24"/>
          <w:lang w:eastAsia="fr-BE"/>
        </w:rPr>
        <w:t>Nom, Prénom Titre professionnel Adresse Code postal / Commune E-mail</w:t>
      </w:r>
    </w:p>
    <w:p w14:paraId="40AF8BBC" w14:textId="77777777" w:rsidR="009B1987" w:rsidRPr="00105FA1" w:rsidRDefault="009B1987">
      <w:pPr>
        <w:rPr>
          <w:rFonts w:ascii="Calibri" w:hAnsi="Calibri" w:cs="Calibri"/>
          <w:sz w:val="24"/>
          <w:szCs w:val="24"/>
        </w:rPr>
      </w:pPr>
    </w:p>
    <w:sectPr w:rsidR="009B1987" w:rsidRPr="00105F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5809" w14:textId="77777777" w:rsidR="000401F5" w:rsidRDefault="000401F5" w:rsidP="00660094">
      <w:pPr>
        <w:spacing w:after="0" w:line="240" w:lineRule="auto"/>
      </w:pPr>
      <w:r>
        <w:separator/>
      </w:r>
    </w:p>
  </w:endnote>
  <w:endnote w:type="continuationSeparator" w:id="0">
    <w:p w14:paraId="2D8062A5" w14:textId="77777777" w:rsidR="000401F5" w:rsidRDefault="000401F5" w:rsidP="0066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E0B2" w14:textId="77777777" w:rsidR="000401F5" w:rsidRDefault="000401F5" w:rsidP="00660094">
      <w:pPr>
        <w:spacing w:after="0" w:line="240" w:lineRule="auto"/>
      </w:pPr>
      <w:r>
        <w:separator/>
      </w:r>
    </w:p>
  </w:footnote>
  <w:footnote w:type="continuationSeparator" w:id="0">
    <w:p w14:paraId="2F2E10F9" w14:textId="77777777" w:rsidR="000401F5" w:rsidRDefault="000401F5" w:rsidP="006600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401F5"/>
    <w:rsid w:val="000E7197"/>
    <w:rsid w:val="00105FA1"/>
    <w:rsid w:val="00223571"/>
    <w:rsid w:val="003518AA"/>
    <w:rsid w:val="00577748"/>
    <w:rsid w:val="005D659B"/>
    <w:rsid w:val="0064102C"/>
    <w:rsid w:val="00660094"/>
    <w:rsid w:val="009B1987"/>
    <w:rsid w:val="00B4392B"/>
    <w:rsid w:val="00D25F2F"/>
    <w:rsid w:val="00F920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C56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23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3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35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35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235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235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235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235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235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35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35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35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35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35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35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35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35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3571"/>
    <w:rPr>
      <w:rFonts w:eastAsiaTheme="majorEastAsia" w:cstheme="majorBidi"/>
      <w:color w:val="272727" w:themeColor="text1" w:themeTint="D8"/>
    </w:rPr>
  </w:style>
  <w:style w:type="paragraph" w:styleId="Titre">
    <w:name w:val="Title"/>
    <w:basedOn w:val="Normal"/>
    <w:next w:val="Normal"/>
    <w:link w:val="TitreCar"/>
    <w:uiPriority w:val="10"/>
    <w:qFormat/>
    <w:rsid w:val="00223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35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35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35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3571"/>
    <w:pPr>
      <w:spacing w:before="160"/>
      <w:jc w:val="center"/>
    </w:pPr>
    <w:rPr>
      <w:i/>
      <w:iCs/>
      <w:color w:val="404040" w:themeColor="text1" w:themeTint="BF"/>
    </w:rPr>
  </w:style>
  <w:style w:type="character" w:customStyle="1" w:styleId="CitationCar">
    <w:name w:val="Citation Car"/>
    <w:basedOn w:val="Policepardfaut"/>
    <w:link w:val="Citation"/>
    <w:uiPriority w:val="29"/>
    <w:rsid w:val="00223571"/>
    <w:rPr>
      <w:i/>
      <w:iCs/>
      <w:color w:val="404040" w:themeColor="text1" w:themeTint="BF"/>
    </w:rPr>
  </w:style>
  <w:style w:type="paragraph" w:styleId="Paragraphedeliste">
    <w:name w:val="List Paragraph"/>
    <w:basedOn w:val="Normal"/>
    <w:uiPriority w:val="34"/>
    <w:qFormat/>
    <w:rsid w:val="00223571"/>
    <w:pPr>
      <w:ind w:left="720"/>
      <w:contextualSpacing/>
    </w:pPr>
  </w:style>
  <w:style w:type="character" w:styleId="Accentuationintense">
    <w:name w:val="Intense Emphasis"/>
    <w:basedOn w:val="Policepardfaut"/>
    <w:uiPriority w:val="21"/>
    <w:qFormat/>
    <w:rsid w:val="00223571"/>
    <w:rPr>
      <w:i/>
      <w:iCs/>
      <w:color w:val="0F4761" w:themeColor="accent1" w:themeShade="BF"/>
    </w:rPr>
  </w:style>
  <w:style w:type="paragraph" w:styleId="Citationintense">
    <w:name w:val="Intense Quote"/>
    <w:basedOn w:val="Normal"/>
    <w:next w:val="Normal"/>
    <w:link w:val="CitationintenseCar"/>
    <w:uiPriority w:val="30"/>
    <w:qFormat/>
    <w:rsid w:val="00223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3571"/>
    <w:rPr>
      <w:i/>
      <w:iCs/>
      <w:color w:val="0F4761" w:themeColor="accent1" w:themeShade="BF"/>
    </w:rPr>
  </w:style>
  <w:style w:type="character" w:styleId="Rfrenceintense">
    <w:name w:val="Intense Reference"/>
    <w:basedOn w:val="Policepardfaut"/>
    <w:uiPriority w:val="32"/>
    <w:qFormat/>
    <w:rsid w:val="00223571"/>
    <w:rPr>
      <w:b/>
      <w:bCs/>
      <w:smallCaps/>
      <w:color w:val="0F4761" w:themeColor="accent1" w:themeShade="BF"/>
      <w:spacing w:val="5"/>
    </w:rPr>
  </w:style>
  <w:style w:type="paragraph" w:styleId="En-tte">
    <w:name w:val="header"/>
    <w:basedOn w:val="Normal"/>
    <w:link w:val="En-tteCar"/>
    <w:uiPriority w:val="99"/>
    <w:unhideWhenUsed/>
    <w:rsid w:val="00660094"/>
    <w:pPr>
      <w:tabs>
        <w:tab w:val="center" w:pos="4536"/>
        <w:tab w:val="right" w:pos="9072"/>
      </w:tabs>
      <w:spacing w:after="0" w:line="240" w:lineRule="auto"/>
    </w:pPr>
  </w:style>
  <w:style w:type="character" w:customStyle="1" w:styleId="En-tteCar">
    <w:name w:val="En-tête Car"/>
    <w:basedOn w:val="Policepardfaut"/>
    <w:link w:val="En-tte"/>
    <w:uiPriority w:val="99"/>
    <w:rsid w:val="00660094"/>
  </w:style>
  <w:style w:type="paragraph" w:styleId="Pieddepage">
    <w:name w:val="footer"/>
    <w:basedOn w:val="Normal"/>
    <w:link w:val="PieddepageCar"/>
    <w:uiPriority w:val="99"/>
    <w:unhideWhenUsed/>
    <w:rsid w:val="0066009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_reg@riziv-inami.fgov.b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2025-11-30T10:24:00Z</dcterms:created>
  <dcterms:modified xsi:type="dcterms:W3CDTF">2025-11-30T10:24:00Z</dcterms:modified>
</cp:coreProperties>
</file>